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85" w:rsidRPr="00085785" w:rsidRDefault="00085785" w:rsidP="00085785">
      <w:pPr>
        <w:jc w:val="center"/>
        <w:rPr>
          <w:rFonts w:ascii="Times New Roman" w:hAnsi="Times New Roman" w:cs="Times New Roman"/>
          <w:b/>
          <w:sz w:val="40"/>
          <w:szCs w:val="40"/>
        </w:rPr>
      </w:pPr>
      <w:r w:rsidRPr="00085785">
        <w:rPr>
          <w:rFonts w:ascii="Times New Roman" w:hAnsi="Times New Roman" w:cs="Times New Roman"/>
          <w:b/>
          <w:sz w:val="40"/>
          <w:szCs w:val="40"/>
        </w:rPr>
        <w:t>CWCWD TENANT AUTHORIZATION FORM</w:t>
      </w:r>
    </w:p>
    <w:tbl>
      <w:tblPr>
        <w:tblStyle w:val="TableGrid"/>
        <w:tblW w:w="0" w:type="auto"/>
        <w:tblLook w:val="04A0" w:firstRow="1" w:lastRow="0" w:firstColumn="1" w:lastColumn="0" w:noHBand="0" w:noVBand="1"/>
      </w:tblPr>
      <w:tblGrid>
        <w:gridCol w:w="4675"/>
        <w:gridCol w:w="4675"/>
      </w:tblGrid>
      <w:tr w:rsidR="00480816" w:rsidTr="00085785">
        <w:tc>
          <w:tcPr>
            <w:tcW w:w="4675" w:type="dxa"/>
            <w:shd w:val="clear" w:color="auto" w:fill="FFF2CC" w:themeFill="accent4" w:themeFillTint="33"/>
          </w:tcPr>
          <w:p w:rsidR="00480816" w:rsidRPr="00085785" w:rsidRDefault="00222F75" w:rsidP="003C64A5">
            <w:pPr>
              <w:rPr>
                <w:b/>
              </w:rPr>
            </w:pPr>
            <w:r>
              <w:rPr>
                <w:b/>
              </w:rPr>
              <w:t>Date:</w:t>
            </w:r>
          </w:p>
        </w:tc>
        <w:tc>
          <w:tcPr>
            <w:tcW w:w="4675" w:type="dxa"/>
            <w:shd w:val="clear" w:color="auto" w:fill="FFF2CC" w:themeFill="accent4" w:themeFillTint="33"/>
          </w:tcPr>
          <w:p w:rsidR="00480816" w:rsidRPr="00085785" w:rsidRDefault="00085785">
            <w:pPr>
              <w:rPr>
                <w:b/>
              </w:rPr>
            </w:pPr>
            <w:r w:rsidRPr="00085785">
              <w:rPr>
                <w:b/>
              </w:rPr>
              <w:t>Move In Date:</w:t>
            </w:r>
            <w:r w:rsidR="00616D8E">
              <w:rPr>
                <w:b/>
              </w:rPr>
              <w:t xml:space="preserve"> </w:t>
            </w:r>
          </w:p>
        </w:tc>
      </w:tr>
      <w:tr w:rsidR="00480816" w:rsidTr="00085785">
        <w:tc>
          <w:tcPr>
            <w:tcW w:w="4675" w:type="dxa"/>
            <w:shd w:val="clear" w:color="auto" w:fill="FFF2CC" w:themeFill="accent4" w:themeFillTint="33"/>
          </w:tcPr>
          <w:p w:rsidR="00480816" w:rsidRPr="00085785" w:rsidRDefault="00085785" w:rsidP="003C64A5">
            <w:pPr>
              <w:rPr>
                <w:b/>
              </w:rPr>
            </w:pPr>
            <w:r w:rsidRPr="00085785">
              <w:rPr>
                <w:b/>
              </w:rPr>
              <w:t>Account</w:t>
            </w:r>
            <w:r w:rsidR="00480816" w:rsidRPr="00085785">
              <w:rPr>
                <w:b/>
              </w:rPr>
              <w:t xml:space="preserve"> #:</w:t>
            </w:r>
          </w:p>
        </w:tc>
        <w:tc>
          <w:tcPr>
            <w:tcW w:w="4675" w:type="dxa"/>
            <w:shd w:val="clear" w:color="auto" w:fill="FFF2CC" w:themeFill="accent4" w:themeFillTint="33"/>
          </w:tcPr>
          <w:p w:rsidR="00480816" w:rsidRPr="00085785" w:rsidRDefault="00085785">
            <w:pPr>
              <w:rPr>
                <w:b/>
              </w:rPr>
            </w:pPr>
            <w:r w:rsidRPr="00085785">
              <w:rPr>
                <w:b/>
              </w:rPr>
              <w:t>Move Out Date:</w:t>
            </w:r>
          </w:p>
        </w:tc>
      </w:tr>
      <w:tr w:rsidR="00085785" w:rsidTr="00085785">
        <w:tc>
          <w:tcPr>
            <w:tcW w:w="4675" w:type="dxa"/>
            <w:shd w:val="clear" w:color="auto" w:fill="FFF2CC" w:themeFill="accent4" w:themeFillTint="33"/>
          </w:tcPr>
          <w:p w:rsidR="00085785" w:rsidRPr="00085785" w:rsidRDefault="00085785" w:rsidP="003C64A5">
            <w:pPr>
              <w:rPr>
                <w:b/>
              </w:rPr>
            </w:pPr>
            <w:r w:rsidRPr="00085785">
              <w:rPr>
                <w:b/>
              </w:rPr>
              <w:t>Tap Size:</w:t>
            </w:r>
          </w:p>
        </w:tc>
        <w:tc>
          <w:tcPr>
            <w:tcW w:w="4675" w:type="dxa"/>
            <w:shd w:val="clear" w:color="auto" w:fill="FFF2CC" w:themeFill="accent4" w:themeFillTint="33"/>
          </w:tcPr>
          <w:p w:rsidR="00085785" w:rsidRPr="00085785" w:rsidRDefault="00085785">
            <w:pPr>
              <w:rPr>
                <w:b/>
              </w:rPr>
            </w:pPr>
          </w:p>
        </w:tc>
      </w:tr>
      <w:tr w:rsidR="00085785" w:rsidTr="003C64A5">
        <w:trPr>
          <w:trHeight w:val="287"/>
        </w:trPr>
        <w:tc>
          <w:tcPr>
            <w:tcW w:w="4675" w:type="dxa"/>
            <w:shd w:val="clear" w:color="auto" w:fill="FFF2CC" w:themeFill="accent4" w:themeFillTint="33"/>
          </w:tcPr>
          <w:p w:rsidR="00085785" w:rsidRPr="00085785" w:rsidRDefault="00085785" w:rsidP="003C64A5">
            <w:pPr>
              <w:rPr>
                <w:b/>
              </w:rPr>
            </w:pPr>
            <w:r w:rsidRPr="00085785">
              <w:rPr>
                <w:b/>
              </w:rPr>
              <w:t>Parcel #:</w:t>
            </w:r>
          </w:p>
        </w:tc>
        <w:tc>
          <w:tcPr>
            <w:tcW w:w="4675" w:type="dxa"/>
            <w:shd w:val="clear" w:color="auto" w:fill="FFF2CC" w:themeFill="accent4" w:themeFillTint="33"/>
          </w:tcPr>
          <w:p w:rsidR="00085785" w:rsidRPr="00085785" w:rsidRDefault="00085785">
            <w:pPr>
              <w:rPr>
                <w:b/>
              </w:rPr>
            </w:pPr>
          </w:p>
        </w:tc>
      </w:tr>
    </w:tbl>
    <w:p w:rsidR="00480816" w:rsidRDefault="00480816"/>
    <w:tbl>
      <w:tblPr>
        <w:tblStyle w:val="TableGrid"/>
        <w:tblW w:w="0" w:type="auto"/>
        <w:tblLook w:val="04A0" w:firstRow="1" w:lastRow="0" w:firstColumn="1" w:lastColumn="0" w:noHBand="0" w:noVBand="1"/>
      </w:tblPr>
      <w:tblGrid>
        <w:gridCol w:w="9350"/>
      </w:tblGrid>
      <w:tr w:rsidR="00085785" w:rsidTr="00085785">
        <w:tc>
          <w:tcPr>
            <w:tcW w:w="9350" w:type="dxa"/>
            <w:shd w:val="clear" w:color="auto" w:fill="D9E2F3" w:themeFill="accent5" w:themeFillTint="33"/>
          </w:tcPr>
          <w:p w:rsidR="00085785" w:rsidRPr="00085785" w:rsidRDefault="00085785" w:rsidP="00222F75">
            <w:pPr>
              <w:rPr>
                <w:b/>
              </w:rPr>
            </w:pPr>
            <w:r w:rsidRPr="00085785">
              <w:rPr>
                <w:b/>
              </w:rPr>
              <w:t>Meter Address:</w:t>
            </w:r>
            <w:r w:rsidR="00616D8E">
              <w:rPr>
                <w:b/>
              </w:rPr>
              <w:t xml:space="preserve"> </w:t>
            </w:r>
          </w:p>
        </w:tc>
      </w:tr>
      <w:tr w:rsidR="00085785" w:rsidTr="00085785">
        <w:tc>
          <w:tcPr>
            <w:tcW w:w="9350" w:type="dxa"/>
            <w:shd w:val="clear" w:color="auto" w:fill="D9E2F3" w:themeFill="accent5" w:themeFillTint="33"/>
          </w:tcPr>
          <w:p w:rsidR="00085785" w:rsidRPr="00085785" w:rsidRDefault="00085785" w:rsidP="00222F75">
            <w:pPr>
              <w:rPr>
                <w:b/>
              </w:rPr>
            </w:pPr>
            <w:r w:rsidRPr="00085785">
              <w:rPr>
                <w:b/>
              </w:rPr>
              <w:t>City:</w:t>
            </w:r>
            <w:r w:rsidR="00A84D8F">
              <w:rPr>
                <w:b/>
              </w:rPr>
              <w:t xml:space="preserve"> </w:t>
            </w:r>
          </w:p>
        </w:tc>
      </w:tr>
      <w:tr w:rsidR="00085785" w:rsidTr="00085785">
        <w:tc>
          <w:tcPr>
            <w:tcW w:w="9350" w:type="dxa"/>
            <w:shd w:val="clear" w:color="auto" w:fill="D9E2F3" w:themeFill="accent5" w:themeFillTint="33"/>
          </w:tcPr>
          <w:p w:rsidR="00085785" w:rsidRPr="00085785" w:rsidRDefault="00085785" w:rsidP="00222F75">
            <w:pPr>
              <w:rPr>
                <w:b/>
              </w:rPr>
            </w:pPr>
            <w:r w:rsidRPr="00085785">
              <w:rPr>
                <w:b/>
              </w:rPr>
              <w:t>Zip:</w:t>
            </w:r>
            <w:r w:rsidR="00A84D8F">
              <w:rPr>
                <w:b/>
              </w:rPr>
              <w:t xml:space="preserve"> </w:t>
            </w:r>
          </w:p>
        </w:tc>
      </w:tr>
      <w:tr w:rsidR="00085785" w:rsidTr="00085785">
        <w:tc>
          <w:tcPr>
            <w:tcW w:w="9350" w:type="dxa"/>
            <w:shd w:val="clear" w:color="auto" w:fill="D9E2F3" w:themeFill="accent5" w:themeFillTint="33"/>
          </w:tcPr>
          <w:p w:rsidR="00085785" w:rsidRDefault="00085785"/>
        </w:tc>
      </w:tr>
      <w:tr w:rsidR="00085785" w:rsidTr="00085785">
        <w:tc>
          <w:tcPr>
            <w:tcW w:w="9350" w:type="dxa"/>
            <w:shd w:val="clear" w:color="auto" w:fill="D9E2F3" w:themeFill="accent5" w:themeFillTint="33"/>
          </w:tcPr>
          <w:p w:rsidR="00085785" w:rsidRPr="00085785" w:rsidRDefault="00616D8E">
            <w:pPr>
              <w:rPr>
                <w:b/>
              </w:rPr>
            </w:pPr>
            <w:r>
              <w:rPr>
                <w:b/>
              </w:rPr>
              <w:t>Owner Reque</w:t>
            </w:r>
            <w:r w:rsidR="001A0B62">
              <w:rPr>
                <w:b/>
              </w:rPr>
              <w:t>st</w:t>
            </w:r>
            <w:r w:rsidR="00A84D8F">
              <w:rPr>
                <w:b/>
              </w:rPr>
              <w:t xml:space="preserve">ing Tenant Change: </w:t>
            </w:r>
          </w:p>
        </w:tc>
      </w:tr>
      <w:tr w:rsidR="00085785" w:rsidTr="00085785">
        <w:tc>
          <w:tcPr>
            <w:tcW w:w="9350" w:type="dxa"/>
            <w:shd w:val="clear" w:color="auto" w:fill="D9E2F3" w:themeFill="accent5" w:themeFillTint="33"/>
          </w:tcPr>
          <w:p w:rsidR="00085785" w:rsidRPr="00085785" w:rsidRDefault="00085785">
            <w:pPr>
              <w:rPr>
                <w:b/>
              </w:rPr>
            </w:pPr>
            <w:r w:rsidRPr="00085785">
              <w:rPr>
                <w:b/>
              </w:rPr>
              <w:t>Phone Number:</w:t>
            </w:r>
            <w:r w:rsidR="00A84D8F">
              <w:rPr>
                <w:b/>
              </w:rPr>
              <w:t xml:space="preserve"> </w:t>
            </w:r>
          </w:p>
        </w:tc>
      </w:tr>
      <w:tr w:rsidR="00085785" w:rsidTr="00085785">
        <w:tc>
          <w:tcPr>
            <w:tcW w:w="9350" w:type="dxa"/>
            <w:shd w:val="clear" w:color="auto" w:fill="D9E2F3" w:themeFill="accent5" w:themeFillTint="33"/>
          </w:tcPr>
          <w:p w:rsidR="00085785" w:rsidRPr="00085785" w:rsidRDefault="00085785" w:rsidP="00222F75">
            <w:pPr>
              <w:rPr>
                <w:b/>
              </w:rPr>
            </w:pPr>
            <w:r w:rsidRPr="00085785">
              <w:rPr>
                <w:b/>
              </w:rPr>
              <w:t>Email:</w:t>
            </w:r>
          </w:p>
        </w:tc>
      </w:tr>
    </w:tbl>
    <w:p w:rsidR="00480816" w:rsidRDefault="00480816"/>
    <w:tbl>
      <w:tblPr>
        <w:tblStyle w:val="TableGrid"/>
        <w:tblW w:w="0" w:type="auto"/>
        <w:tblLook w:val="04A0" w:firstRow="1" w:lastRow="0" w:firstColumn="1" w:lastColumn="0" w:noHBand="0" w:noVBand="1"/>
      </w:tblPr>
      <w:tblGrid>
        <w:gridCol w:w="9350"/>
      </w:tblGrid>
      <w:tr w:rsidR="00085785" w:rsidTr="00085785">
        <w:tc>
          <w:tcPr>
            <w:tcW w:w="9350" w:type="dxa"/>
            <w:shd w:val="clear" w:color="auto" w:fill="D9D9D9" w:themeFill="background1" w:themeFillShade="D9"/>
          </w:tcPr>
          <w:p w:rsidR="00085785" w:rsidRPr="00085785" w:rsidRDefault="00085785" w:rsidP="00222F75">
            <w:pPr>
              <w:rPr>
                <w:b/>
              </w:rPr>
            </w:pPr>
            <w:r w:rsidRPr="00085785">
              <w:rPr>
                <w:b/>
              </w:rPr>
              <w:t>Tenant Name:</w:t>
            </w:r>
            <w:r w:rsidR="001A0B62">
              <w:rPr>
                <w:b/>
              </w:rPr>
              <w:t xml:space="preserve"> </w:t>
            </w:r>
          </w:p>
        </w:tc>
      </w:tr>
      <w:tr w:rsidR="00085785" w:rsidTr="00085785">
        <w:tc>
          <w:tcPr>
            <w:tcW w:w="9350" w:type="dxa"/>
            <w:shd w:val="clear" w:color="auto" w:fill="D9D9D9" w:themeFill="background1" w:themeFillShade="D9"/>
          </w:tcPr>
          <w:p w:rsidR="00085785" w:rsidRPr="00085785" w:rsidRDefault="00085785" w:rsidP="00222F75">
            <w:pPr>
              <w:rPr>
                <w:b/>
              </w:rPr>
            </w:pPr>
            <w:r w:rsidRPr="00085785">
              <w:rPr>
                <w:b/>
              </w:rPr>
              <w:t>Mailing Address:</w:t>
            </w:r>
            <w:r w:rsidR="00616D8E">
              <w:rPr>
                <w:b/>
              </w:rPr>
              <w:t xml:space="preserve"> </w:t>
            </w:r>
          </w:p>
        </w:tc>
      </w:tr>
      <w:tr w:rsidR="00085785" w:rsidTr="00085785">
        <w:tc>
          <w:tcPr>
            <w:tcW w:w="9350" w:type="dxa"/>
            <w:shd w:val="clear" w:color="auto" w:fill="D9D9D9" w:themeFill="background1" w:themeFillShade="D9"/>
          </w:tcPr>
          <w:p w:rsidR="00085785" w:rsidRPr="00085785" w:rsidRDefault="00085785" w:rsidP="00222F75">
            <w:pPr>
              <w:rPr>
                <w:b/>
              </w:rPr>
            </w:pPr>
            <w:r w:rsidRPr="00085785">
              <w:rPr>
                <w:b/>
              </w:rPr>
              <w:t>City, State:</w:t>
            </w:r>
            <w:r w:rsidR="00B33F9F">
              <w:rPr>
                <w:b/>
              </w:rPr>
              <w:t xml:space="preserve"> </w:t>
            </w:r>
          </w:p>
        </w:tc>
      </w:tr>
      <w:tr w:rsidR="00085785" w:rsidTr="00085785">
        <w:tc>
          <w:tcPr>
            <w:tcW w:w="9350" w:type="dxa"/>
            <w:shd w:val="clear" w:color="auto" w:fill="D9D9D9" w:themeFill="background1" w:themeFillShade="D9"/>
          </w:tcPr>
          <w:p w:rsidR="00085785" w:rsidRPr="00085785" w:rsidRDefault="00085785" w:rsidP="00222F75">
            <w:pPr>
              <w:rPr>
                <w:b/>
              </w:rPr>
            </w:pPr>
            <w:r w:rsidRPr="00085785">
              <w:rPr>
                <w:b/>
              </w:rPr>
              <w:t>Zip:</w:t>
            </w:r>
            <w:r w:rsidR="00616D8E">
              <w:rPr>
                <w:b/>
              </w:rPr>
              <w:t xml:space="preserve"> </w:t>
            </w:r>
          </w:p>
        </w:tc>
      </w:tr>
      <w:tr w:rsidR="00085785" w:rsidTr="00085785">
        <w:tc>
          <w:tcPr>
            <w:tcW w:w="9350" w:type="dxa"/>
            <w:shd w:val="clear" w:color="auto" w:fill="D9D9D9" w:themeFill="background1" w:themeFillShade="D9"/>
          </w:tcPr>
          <w:p w:rsidR="00085785" w:rsidRPr="00085785" w:rsidRDefault="00085785" w:rsidP="00222F75">
            <w:pPr>
              <w:rPr>
                <w:b/>
              </w:rPr>
            </w:pPr>
            <w:r w:rsidRPr="00085785">
              <w:rPr>
                <w:b/>
              </w:rPr>
              <w:t>Phone Number:</w:t>
            </w:r>
            <w:r w:rsidR="00B33F9F">
              <w:rPr>
                <w:b/>
              </w:rPr>
              <w:t xml:space="preserve"> </w:t>
            </w:r>
            <w:bookmarkStart w:id="0" w:name="_GoBack"/>
            <w:bookmarkEnd w:id="0"/>
          </w:p>
        </w:tc>
      </w:tr>
    </w:tbl>
    <w:p w:rsidR="00085785" w:rsidRDefault="00085785"/>
    <w:p w:rsidR="0083079F" w:rsidRDefault="0083079F" w:rsidP="009D0462">
      <w:pPr>
        <w:pStyle w:val="NormalWeb"/>
        <w:numPr>
          <w:ilvl w:val="0"/>
          <w:numId w:val="1"/>
        </w:numPr>
        <w:shd w:val="clear" w:color="auto" w:fill="FFFFFF"/>
        <w:spacing w:before="0" w:beforeAutospacing="0" w:after="360" w:afterAutospacing="0"/>
        <w:textAlignment w:val="baseline"/>
        <w:rPr>
          <w:rFonts w:ascii="Arial" w:hAnsi="Arial" w:cs="Arial"/>
          <w:color w:val="000000"/>
          <w:sz w:val="21"/>
          <w:szCs w:val="21"/>
        </w:rPr>
      </w:pPr>
      <w:r w:rsidRPr="0083079F">
        <w:rPr>
          <w:rFonts w:ascii="Arial" w:hAnsi="Arial" w:cs="Arial"/>
          <w:color w:val="000000"/>
          <w:sz w:val="21"/>
          <w:szCs w:val="21"/>
        </w:rPr>
        <w:t>Owners should contact the District within 48 hours of the move-in and move-out dates so previous and future billings can be processed correctly.</w:t>
      </w:r>
      <w:r>
        <w:rPr>
          <w:rFonts w:ascii="Arial" w:hAnsi="Arial" w:cs="Arial"/>
          <w:color w:val="000000"/>
          <w:sz w:val="21"/>
          <w:szCs w:val="21"/>
        </w:rPr>
        <w:t xml:space="preserve">  Tenants are not eligible to receive bills without permission from the owner.</w:t>
      </w:r>
    </w:p>
    <w:p w:rsidR="00845941" w:rsidRDefault="0083079F" w:rsidP="00F66107">
      <w:pPr>
        <w:pStyle w:val="NormalWeb"/>
        <w:numPr>
          <w:ilvl w:val="0"/>
          <w:numId w:val="1"/>
        </w:numPr>
        <w:shd w:val="clear" w:color="auto" w:fill="FFFFFF"/>
        <w:spacing w:before="0" w:beforeAutospacing="0" w:after="360" w:afterAutospacing="0"/>
        <w:textAlignment w:val="baseline"/>
        <w:rPr>
          <w:rFonts w:ascii="Arial" w:hAnsi="Arial" w:cs="Arial"/>
          <w:color w:val="000000"/>
          <w:sz w:val="21"/>
          <w:szCs w:val="21"/>
        </w:rPr>
      </w:pPr>
      <w:r w:rsidRPr="00845941">
        <w:rPr>
          <w:rFonts w:ascii="Arial" w:hAnsi="Arial" w:cs="Arial"/>
          <w:color w:val="000000"/>
          <w:sz w:val="21"/>
          <w:szCs w:val="21"/>
        </w:rPr>
        <w:t>Bills cannot be “back-dated” due to failure of notification.</w:t>
      </w:r>
      <w:r w:rsidRPr="00845941">
        <w:rPr>
          <w:rFonts w:ascii="Arial" w:hAnsi="Arial" w:cs="Arial"/>
          <w:color w:val="000000"/>
          <w:sz w:val="21"/>
          <w:szCs w:val="21"/>
        </w:rPr>
        <w:br/>
      </w:r>
    </w:p>
    <w:p w:rsidR="0083079F" w:rsidRPr="00845941" w:rsidRDefault="0083079F" w:rsidP="00F66107">
      <w:pPr>
        <w:pStyle w:val="NormalWeb"/>
        <w:numPr>
          <w:ilvl w:val="0"/>
          <w:numId w:val="1"/>
        </w:numPr>
        <w:shd w:val="clear" w:color="auto" w:fill="FFFFFF"/>
        <w:spacing w:before="0" w:beforeAutospacing="0" w:after="360" w:afterAutospacing="0"/>
        <w:textAlignment w:val="baseline"/>
        <w:rPr>
          <w:rFonts w:ascii="Arial" w:hAnsi="Arial" w:cs="Arial"/>
          <w:color w:val="000000"/>
          <w:sz w:val="21"/>
          <w:szCs w:val="21"/>
        </w:rPr>
      </w:pPr>
      <w:r w:rsidRPr="00845941">
        <w:rPr>
          <w:rFonts w:ascii="Arial" w:hAnsi="Arial" w:cs="Arial"/>
          <w:color w:val="000000"/>
          <w:sz w:val="21"/>
          <w:szCs w:val="21"/>
        </w:rPr>
        <w:t>All discrepancies between the owner and tenant regarding any portion of a bill prior to the move-out date or notification date must be resolved between the owner and tenant.</w:t>
      </w:r>
    </w:p>
    <w:p w:rsidR="00480816" w:rsidRDefault="0083079F" w:rsidP="00845941">
      <w:pPr>
        <w:pStyle w:val="NormalWeb"/>
        <w:shd w:val="clear" w:color="auto" w:fill="FFFFFF"/>
        <w:spacing w:before="0" w:beforeAutospacing="0" w:after="0" w:afterAutospacing="0"/>
        <w:jc w:val="both"/>
        <w:textAlignment w:val="baseline"/>
        <w:rPr>
          <w:b/>
          <w:color w:val="FF0000"/>
          <w:szCs w:val="20"/>
        </w:rPr>
      </w:pPr>
      <w:r>
        <w:rPr>
          <w:rFonts w:ascii="Arial" w:hAnsi="Arial" w:cs="Arial"/>
          <w:color w:val="000000"/>
          <w:sz w:val="21"/>
          <w:szCs w:val="21"/>
        </w:rPr>
        <w:t>All owners are ultimately responsible for payment of their account and remain responsible even when tenant occupied. The District will not seek collection for final payment from any previous tenant.</w:t>
      </w:r>
      <w:r w:rsidR="00480816">
        <w:rPr>
          <w:rFonts w:ascii="Arial" w:hAnsi="Arial" w:cs="Arial"/>
          <w:color w:val="000000"/>
          <w:sz w:val="21"/>
          <w:szCs w:val="21"/>
        </w:rPr>
        <w:t xml:space="preserve">  </w:t>
      </w:r>
      <w:r w:rsidR="00480816" w:rsidRPr="00480816">
        <w:rPr>
          <w:rStyle w:val="Strong"/>
          <w:rFonts w:ascii="Arial" w:hAnsi="Arial" w:cs="Arial"/>
          <w:b w:val="0"/>
          <w:iCs/>
          <w:color w:val="000000"/>
          <w:sz w:val="21"/>
          <w:szCs w:val="21"/>
          <w:bdr w:val="none" w:sz="0" w:space="0" w:color="auto" w:frame="1"/>
        </w:rPr>
        <w:t>If an account becomes past due, both tenant and owner will receive a past due notice.</w:t>
      </w:r>
      <w:r w:rsidR="00845941">
        <w:rPr>
          <w:rStyle w:val="Strong"/>
          <w:rFonts w:ascii="Arial" w:hAnsi="Arial" w:cs="Arial"/>
          <w:b w:val="0"/>
          <w:iCs/>
          <w:color w:val="000000"/>
          <w:sz w:val="21"/>
          <w:szCs w:val="21"/>
          <w:bdr w:val="none" w:sz="0" w:space="0" w:color="auto" w:frame="1"/>
        </w:rPr>
        <w:t xml:space="preserve">  </w:t>
      </w:r>
      <w:r w:rsidR="00480816">
        <w:rPr>
          <w:rFonts w:ascii="Arial" w:hAnsi="Arial" w:cs="Arial"/>
          <w:color w:val="000000"/>
          <w:sz w:val="21"/>
          <w:szCs w:val="21"/>
        </w:rPr>
        <w:t xml:space="preserve">Water is subject to shutoff and applicable restoration fees will be applied.  All fees in arrears must be paid before water service can be restored.  </w:t>
      </w:r>
      <w:r w:rsidR="00480816" w:rsidRPr="002976C4">
        <w:rPr>
          <w:i/>
          <w:color w:val="FF0000"/>
          <w:szCs w:val="20"/>
        </w:rPr>
        <w:t>In accordance with Colorado law, all unpaid fees and penalties or charges shall constitute a perpetual lien on an against the property served and any such lien may be foreclosed in the same manner as provided by the laws of the State of Colorado for the foreclosure of mechanics’ liens.</w:t>
      </w:r>
      <w:r w:rsidR="00085785">
        <w:rPr>
          <w:color w:val="FF0000"/>
          <w:szCs w:val="20"/>
        </w:rPr>
        <w:t xml:space="preserve">  </w:t>
      </w:r>
      <w:r w:rsidR="00085785" w:rsidRPr="00085785">
        <w:rPr>
          <w:b/>
          <w:color w:val="FF0000"/>
          <w:szCs w:val="20"/>
        </w:rPr>
        <w:t>This does not waive any owner’s responsibility for payment.</w:t>
      </w:r>
    </w:p>
    <w:p w:rsidR="00845941" w:rsidRDefault="00845941" w:rsidP="00845941">
      <w:pPr>
        <w:pStyle w:val="NormalWeb"/>
        <w:shd w:val="clear" w:color="auto" w:fill="FFFFFF"/>
        <w:spacing w:before="0" w:beforeAutospacing="0" w:after="0" w:afterAutospacing="0"/>
        <w:jc w:val="both"/>
        <w:textAlignment w:val="baseline"/>
        <w:rPr>
          <w:b/>
          <w:color w:val="FF0000"/>
          <w:szCs w:val="20"/>
        </w:rPr>
      </w:pPr>
    </w:p>
    <w:tbl>
      <w:tblPr>
        <w:tblStyle w:val="TableGrid"/>
        <w:tblW w:w="0" w:type="auto"/>
        <w:tblLook w:val="04A0" w:firstRow="1" w:lastRow="0" w:firstColumn="1" w:lastColumn="0" w:noHBand="0" w:noVBand="1"/>
      </w:tblPr>
      <w:tblGrid>
        <w:gridCol w:w="9350"/>
      </w:tblGrid>
      <w:tr w:rsidR="00845941" w:rsidTr="00845941">
        <w:tc>
          <w:tcPr>
            <w:tcW w:w="9350" w:type="dxa"/>
          </w:tcPr>
          <w:p w:rsidR="00845941" w:rsidRDefault="00845941" w:rsidP="00845941">
            <w:pPr>
              <w:pStyle w:val="NormalWeb"/>
              <w:spacing w:before="0" w:beforeAutospacing="0" w:after="0" w:afterAutospacing="0"/>
              <w:jc w:val="both"/>
              <w:textAlignment w:val="baseline"/>
              <w:rPr>
                <w:color w:val="FF0000"/>
                <w:szCs w:val="20"/>
              </w:rPr>
            </w:pPr>
            <w:r>
              <w:rPr>
                <w:color w:val="FF0000"/>
                <w:szCs w:val="20"/>
              </w:rPr>
              <w:t>Owner Signature:                                                                                  Date:</w:t>
            </w:r>
          </w:p>
        </w:tc>
      </w:tr>
      <w:tr w:rsidR="00845941" w:rsidTr="00845941">
        <w:tc>
          <w:tcPr>
            <w:tcW w:w="9350" w:type="dxa"/>
          </w:tcPr>
          <w:p w:rsidR="00845941" w:rsidRDefault="00845941" w:rsidP="00845941">
            <w:pPr>
              <w:pStyle w:val="NormalWeb"/>
              <w:spacing w:before="0" w:beforeAutospacing="0" w:after="0" w:afterAutospacing="0"/>
              <w:jc w:val="both"/>
              <w:textAlignment w:val="baseline"/>
              <w:rPr>
                <w:color w:val="FF0000"/>
                <w:szCs w:val="20"/>
              </w:rPr>
            </w:pPr>
            <w:r>
              <w:rPr>
                <w:color w:val="FF0000"/>
                <w:szCs w:val="20"/>
              </w:rPr>
              <w:t>Owner Signature:                                                                                  Date:</w:t>
            </w:r>
          </w:p>
        </w:tc>
      </w:tr>
      <w:tr w:rsidR="00845941" w:rsidTr="00845941">
        <w:tc>
          <w:tcPr>
            <w:tcW w:w="9350" w:type="dxa"/>
          </w:tcPr>
          <w:p w:rsidR="00845941" w:rsidRDefault="00845941" w:rsidP="00845941">
            <w:pPr>
              <w:pStyle w:val="NormalWeb"/>
              <w:spacing w:before="0" w:beforeAutospacing="0" w:after="0" w:afterAutospacing="0"/>
              <w:jc w:val="both"/>
              <w:textAlignment w:val="baseline"/>
              <w:rPr>
                <w:color w:val="FF0000"/>
                <w:szCs w:val="20"/>
              </w:rPr>
            </w:pPr>
          </w:p>
        </w:tc>
      </w:tr>
      <w:tr w:rsidR="00845941" w:rsidTr="00845941">
        <w:tc>
          <w:tcPr>
            <w:tcW w:w="9350" w:type="dxa"/>
          </w:tcPr>
          <w:p w:rsidR="00845941" w:rsidRDefault="00845941" w:rsidP="00845941">
            <w:pPr>
              <w:pStyle w:val="NormalWeb"/>
              <w:spacing w:before="0" w:beforeAutospacing="0" w:after="0" w:afterAutospacing="0"/>
              <w:jc w:val="both"/>
              <w:textAlignment w:val="baseline"/>
              <w:rPr>
                <w:color w:val="FF0000"/>
                <w:szCs w:val="20"/>
              </w:rPr>
            </w:pPr>
            <w:r>
              <w:rPr>
                <w:color w:val="FF0000"/>
                <w:szCs w:val="20"/>
              </w:rPr>
              <w:t>I acknowledge receipt of the Tenant Authorization Form and agree to the terms as listed</w:t>
            </w:r>
          </w:p>
        </w:tc>
      </w:tr>
    </w:tbl>
    <w:p w:rsidR="00845941" w:rsidRPr="00480816" w:rsidRDefault="00845941" w:rsidP="00845941">
      <w:pPr>
        <w:pStyle w:val="NormalWeb"/>
        <w:shd w:val="clear" w:color="auto" w:fill="FFFFFF"/>
        <w:spacing w:before="0" w:beforeAutospacing="0" w:after="0" w:afterAutospacing="0"/>
        <w:jc w:val="both"/>
        <w:textAlignment w:val="baseline"/>
        <w:rPr>
          <w:color w:val="FF0000"/>
          <w:szCs w:val="20"/>
        </w:rPr>
      </w:pPr>
    </w:p>
    <w:p w:rsidR="0083079F" w:rsidRDefault="0083079F" w:rsidP="0083079F">
      <w:pPr>
        <w:pStyle w:val="NormalWeb"/>
        <w:shd w:val="clear" w:color="auto" w:fill="FFFFFF"/>
        <w:spacing w:before="0" w:beforeAutospacing="0" w:after="0" w:afterAutospacing="0"/>
        <w:textAlignment w:val="baseline"/>
        <w:rPr>
          <w:rFonts w:ascii="Arial" w:hAnsi="Arial" w:cs="Arial"/>
          <w:color w:val="000000"/>
          <w:sz w:val="21"/>
          <w:szCs w:val="21"/>
        </w:rPr>
      </w:pPr>
    </w:p>
    <w:p w:rsidR="005023C6" w:rsidRPr="00845941" w:rsidRDefault="00845941" w:rsidP="00845941">
      <w:pPr>
        <w:jc w:val="center"/>
        <w:rPr>
          <w:b/>
        </w:rPr>
      </w:pPr>
      <w:r w:rsidRPr="00845941">
        <w:rPr>
          <w:b/>
        </w:rPr>
        <w:t>Central Weld County Water District – 2235 2</w:t>
      </w:r>
      <w:r w:rsidRPr="00845941">
        <w:rPr>
          <w:b/>
          <w:vertAlign w:val="superscript"/>
        </w:rPr>
        <w:t>nd</w:t>
      </w:r>
      <w:r w:rsidRPr="00845941">
        <w:rPr>
          <w:b/>
        </w:rPr>
        <w:t xml:space="preserve"> Avenue – Greeley, CO 80631 – 970-352-1284</w:t>
      </w:r>
    </w:p>
    <w:sectPr w:rsidR="005023C6" w:rsidRPr="00845941" w:rsidSect="008459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CB7"/>
    <w:multiLevelType w:val="hybridMultilevel"/>
    <w:tmpl w:val="79D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6BFF"/>
    <w:multiLevelType w:val="hybridMultilevel"/>
    <w:tmpl w:val="9A761D64"/>
    <w:lvl w:ilvl="0" w:tplc="4B068C3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F"/>
    <w:rsid w:val="000046B2"/>
    <w:rsid w:val="00085785"/>
    <w:rsid w:val="001A0B62"/>
    <w:rsid w:val="00222F75"/>
    <w:rsid w:val="002976C4"/>
    <w:rsid w:val="003C64A5"/>
    <w:rsid w:val="00480816"/>
    <w:rsid w:val="005023C6"/>
    <w:rsid w:val="00616D8E"/>
    <w:rsid w:val="0083079F"/>
    <w:rsid w:val="00845941"/>
    <w:rsid w:val="008510E1"/>
    <w:rsid w:val="00A84D8F"/>
    <w:rsid w:val="00B33F9F"/>
    <w:rsid w:val="00B9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C849"/>
  <w15:chartTrackingRefBased/>
  <w15:docId w15:val="{450AECAD-F11C-48AB-A8FB-53C702D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F"/>
    <w:rPr>
      <w:b/>
      <w:bCs/>
    </w:rPr>
  </w:style>
  <w:style w:type="table" w:styleId="TableGrid">
    <w:name w:val="Table Grid"/>
    <w:basedOn w:val="TableNormal"/>
    <w:uiPriority w:val="39"/>
    <w:rsid w:val="0048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7322">
      <w:bodyDiv w:val="1"/>
      <w:marLeft w:val="0"/>
      <w:marRight w:val="0"/>
      <w:marTop w:val="0"/>
      <w:marBottom w:val="0"/>
      <w:divBdr>
        <w:top w:val="none" w:sz="0" w:space="0" w:color="auto"/>
        <w:left w:val="none" w:sz="0" w:space="0" w:color="auto"/>
        <w:bottom w:val="none" w:sz="0" w:space="0" w:color="auto"/>
        <w:right w:val="none" w:sz="0" w:space="0" w:color="auto"/>
      </w:divBdr>
    </w:div>
    <w:div w:id="19322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Garcia</dc:creator>
  <cp:keywords/>
  <dc:description/>
  <cp:lastModifiedBy>Brooke Garcia</cp:lastModifiedBy>
  <cp:revision>2</cp:revision>
  <cp:lastPrinted>2019-10-15T20:31:00Z</cp:lastPrinted>
  <dcterms:created xsi:type="dcterms:W3CDTF">2022-05-06T19:40:00Z</dcterms:created>
  <dcterms:modified xsi:type="dcterms:W3CDTF">2022-05-06T19:40:00Z</dcterms:modified>
</cp:coreProperties>
</file>